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国家传染病智能监测预警前置机</w:t>
      </w:r>
    </w:p>
    <w:p>
      <w:pPr>
        <w:pStyle w:val="3"/>
      </w:pPr>
      <w:r>
        <w:rPr>
          <w:rFonts w:hint="eastAsia"/>
        </w:rPr>
        <w:t>招标建议参数（三级医院）</w:t>
      </w:r>
    </w:p>
    <w:tbl>
      <w:tblPr>
        <w:tblStyle w:val="7"/>
        <w:tblW w:w="8789" w:type="dxa"/>
        <w:tblInd w:w="137" w:type="dxa"/>
        <w:tblLayout w:type="autofit"/>
        <w:tblCellMar>
          <w:top w:w="0" w:type="dxa"/>
          <w:left w:w="108" w:type="dxa"/>
          <w:bottom w:w="0" w:type="dxa"/>
          <w:right w:w="108" w:type="dxa"/>
        </w:tblCellMar>
      </w:tblPr>
      <w:tblGrid>
        <w:gridCol w:w="560"/>
        <w:gridCol w:w="743"/>
        <w:gridCol w:w="965"/>
        <w:gridCol w:w="6521"/>
      </w:tblGrid>
      <w:tr>
        <w:tblPrEx>
          <w:tblCellMar>
            <w:top w:w="0" w:type="dxa"/>
            <w:left w:w="108" w:type="dxa"/>
            <w:bottom w:w="0" w:type="dxa"/>
            <w:right w:w="108" w:type="dxa"/>
          </w:tblCellMar>
        </w:tblPrEx>
        <w:trPr>
          <w:trHeight w:val="63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序号</w:t>
            </w:r>
          </w:p>
        </w:tc>
        <w:tc>
          <w:tcPr>
            <w:tcW w:w="743"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重要性</w:t>
            </w: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指标项</w:t>
            </w:r>
          </w:p>
        </w:tc>
        <w:tc>
          <w:tcPr>
            <w:tcW w:w="6521"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指标要求</w:t>
            </w:r>
          </w:p>
        </w:tc>
      </w:tr>
      <w:tr>
        <w:tblPrEx>
          <w:tblCellMar>
            <w:top w:w="0" w:type="dxa"/>
            <w:left w:w="108" w:type="dxa"/>
            <w:bottom w:w="0" w:type="dxa"/>
            <w:right w:w="108" w:type="dxa"/>
          </w:tblCellMar>
        </w:tblPrEx>
        <w:trPr>
          <w:trHeight w:val="51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产品形态</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2U机架式服务器，12*3.5英寸硬盘机箱，含导轨；</w:t>
            </w:r>
          </w:p>
        </w:tc>
      </w:tr>
      <w:tr>
        <w:tblPrEx>
          <w:tblCellMar>
            <w:top w:w="0" w:type="dxa"/>
            <w:left w:w="108" w:type="dxa"/>
            <w:bottom w:w="0" w:type="dxa"/>
            <w:right w:w="108" w:type="dxa"/>
          </w:tblCellMar>
        </w:tblPrEx>
        <w:trPr>
          <w:trHeight w:val="55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2</w:t>
            </w: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w:t>
            </w: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处理器</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处理器：配置2颗鲲鹏920，单颗核心数≥32，总核心≥64核，主频≥2.6GHz；</w:t>
            </w:r>
          </w:p>
        </w:tc>
      </w:tr>
      <w:tr>
        <w:tblPrEx>
          <w:tblCellMar>
            <w:top w:w="0" w:type="dxa"/>
            <w:left w:w="108" w:type="dxa"/>
            <w:bottom w:w="0" w:type="dxa"/>
            <w:right w:w="108" w:type="dxa"/>
          </w:tblCellMar>
        </w:tblPrEx>
        <w:trPr>
          <w:trHeight w:val="55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3</w:t>
            </w: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内存</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容量≥256GB，单颗采用DDR4 3200MHz 32GB内存；</w:t>
            </w:r>
          </w:p>
        </w:tc>
      </w:tr>
      <w:tr>
        <w:tblPrEx>
          <w:tblCellMar>
            <w:top w:w="0" w:type="dxa"/>
            <w:left w:w="108" w:type="dxa"/>
            <w:bottom w:w="0" w:type="dxa"/>
            <w:right w:w="108" w:type="dxa"/>
          </w:tblCellMar>
        </w:tblPrEx>
        <w:trPr>
          <w:trHeight w:val="3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4</w:t>
            </w: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硬盘</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≥1.92TB SSD硬盘；</w:t>
            </w:r>
          </w:p>
        </w:tc>
      </w:tr>
      <w:tr>
        <w:tblPrEx>
          <w:tblCellMar>
            <w:top w:w="0" w:type="dxa"/>
            <w:left w:w="108" w:type="dxa"/>
            <w:bottom w:w="0" w:type="dxa"/>
            <w:right w:w="108" w:type="dxa"/>
          </w:tblCellMar>
        </w:tblPrEx>
        <w:trPr>
          <w:trHeight w:val="55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5</w:t>
            </w: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接口</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标配≥4个USB 3.0接口，≥1个千兆网络管理端口，≥1个串口；≥1个VGA接口；</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6</w:t>
            </w: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网络</w:t>
            </w:r>
          </w:p>
        </w:tc>
        <w:tc>
          <w:tcPr>
            <w:tcW w:w="652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olor w:val="000000"/>
                <w:sz w:val="22"/>
                <w:szCs w:val="22"/>
              </w:rPr>
              <w:t>2块独立电口网卡，1块光口网卡</w:t>
            </w:r>
          </w:p>
        </w:tc>
      </w:tr>
      <w:tr>
        <w:tblPrEx>
          <w:tblCellMar>
            <w:top w:w="0" w:type="dxa"/>
            <w:left w:w="108" w:type="dxa"/>
            <w:bottom w:w="0" w:type="dxa"/>
            <w:right w:w="108" w:type="dxa"/>
          </w:tblCellMar>
        </w:tblPrEx>
        <w:trPr>
          <w:trHeight w:val="55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7</w:t>
            </w: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电源</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xml:space="preserve">配置≥2个铂金超高效率电源，支持热插拔及1+1冗余，单电源功率≥900W； </w:t>
            </w:r>
          </w:p>
        </w:tc>
      </w:tr>
      <w:tr>
        <w:tblPrEx>
          <w:tblCellMar>
            <w:top w:w="0" w:type="dxa"/>
            <w:left w:w="108" w:type="dxa"/>
            <w:bottom w:w="0" w:type="dxa"/>
            <w:right w:w="108" w:type="dxa"/>
          </w:tblCellMar>
        </w:tblPrEx>
        <w:trPr>
          <w:trHeight w:val="102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8</w:t>
            </w: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信息安全评估</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服务器管理软件通过完善的信息安全评估，包括保密性、完善性、抗抵赖性、可核查性测试，提供由具备CNAS资格的检测机构出具的服务器管理软件信息安全性测试报告复印件加盖厂商鲜章；</w:t>
            </w:r>
          </w:p>
        </w:tc>
      </w:tr>
      <w:tr>
        <w:tblPrEx>
          <w:tblCellMar>
            <w:top w:w="0" w:type="dxa"/>
            <w:left w:w="108" w:type="dxa"/>
            <w:bottom w:w="0" w:type="dxa"/>
            <w:right w:w="108" w:type="dxa"/>
          </w:tblCellMar>
        </w:tblPrEx>
        <w:trPr>
          <w:trHeight w:val="127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9</w:t>
            </w: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环保要求</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所投产品提供具备CNAS资格的检测机构出具的振动、噪声证明材料，整机符合RoHS环保要求，提供具备CNAS资质检测机构出具的证明材料；</w:t>
            </w:r>
          </w:p>
        </w:tc>
      </w:tr>
      <w:tr>
        <w:tblPrEx>
          <w:tblCellMar>
            <w:top w:w="0" w:type="dxa"/>
            <w:left w:w="108" w:type="dxa"/>
            <w:bottom w:w="0" w:type="dxa"/>
            <w:right w:w="108" w:type="dxa"/>
          </w:tblCellMar>
        </w:tblPrEx>
        <w:trPr>
          <w:trHeight w:val="65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10</w:t>
            </w: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可靠性要求</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提供服务器BMC管理软件故障检测软件著作权证书复印件加盖厂商鲜章。</w:t>
            </w:r>
          </w:p>
        </w:tc>
      </w:tr>
      <w:tr>
        <w:tblPrEx>
          <w:tblCellMar>
            <w:top w:w="0" w:type="dxa"/>
            <w:left w:w="108" w:type="dxa"/>
            <w:bottom w:w="0" w:type="dxa"/>
            <w:right w:w="108" w:type="dxa"/>
          </w:tblCellMar>
        </w:tblPrEx>
        <w:trPr>
          <w:trHeight w:val="55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11</w:t>
            </w: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操作系统</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预装openEuler并完成系统参数调优，须保证兼容国家</w:t>
            </w:r>
            <w:r>
              <w:rPr>
                <w:rFonts w:hint="eastAsia" w:ascii="宋体" w:hAnsi="宋体"/>
                <w:sz w:val="22"/>
                <w:szCs w:val="22"/>
              </w:rPr>
              <w:t>传染病智能监测预警前置软件，投标供应商须提供承诺函；</w:t>
            </w:r>
          </w:p>
        </w:tc>
      </w:tr>
      <w:tr>
        <w:tblPrEx>
          <w:tblCellMar>
            <w:top w:w="0" w:type="dxa"/>
            <w:left w:w="108" w:type="dxa"/>
            <w:bottom w:w="0" w:type="dxa"/>
            <w:right w:w="108" w:type="dxa"/>
          </w:tblCellMar>
        </w:tblPrEx>
        <w:trPr>
          <w:trHeight w:val="55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12</w:t>
            </w: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数据库</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预装openGauss并完成系统参数调优，须保证兼容国家</w:t>
            </w:r>
            <w:r>
              <w:rPr>
                <w:rFonts w:hint="eastAsia" w:ascii="宋体" w:hAnsi="宋体"/>
                <w:sz w:val="22"/>
                <w:szCs w:val="22"/>
              </w:rPr>
              <w:t>传染病智能监测预警前置软件，投标供应商须提供承诺函；</w:t>
            </w:r>
          </w:p>
        </w:tc>
      </w:tr>
      <w:tr>
        <w:tblPrEx>
          <w:tblCellMar>
            <w:top w:w="0" w:type="dxa"/>
            <w:left w:w="108" w:type="dxa"/>
            <w:bottom w:w="0" w:type="dxa"/>
            <w:right w:w="108" w:type="dxa"/>
          </w:tblCellMar>
        </w:tblPrEx>
        <w:trPr>
          <w:trHeight w:val="55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13</w:t>
            </w: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w:t>
            </w: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兼容性要求</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为保证设备适配支持国家</w:t>
            </w:r>
            <w:r>
              <w:rPr>
                <w:rFonts w:hint="eastAsia" w:ascii="宋体" w:hAnsi="宋体"/>
                <w:sz w:val="22"/>
                <w:szCs w:val="22"/>
              </w:rPr>
              <w:t>传染病智能监测预警前置软件，须提供投标厂商和中科软科技股份有限公司传染病智能检测预警前置软件的相互兼容性认证证书，并加盖厂商鲜章；</w:t>
            </w:r>
          </w:p>
        </w:tc>
      </w:tr>
      <w:tr>
        <w:tblPrEx>
          <w:tblCellMar>
            <w:top w:w="0" w:type="dxa"/>
            <w:left w:w="108" w:type="dxa"/>
            <w:bottom w:w="0" w:type="dxa"/>
            <w:right w:w="108" w:type="dxa"/>
          </w:tblCellMar>
        </w:tblPrEx>
        <w:trPr>
          <w:trHeight w:val="55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w:t>
            </w: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硬件能力要求</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为保障设备硬件质量和服务能力，投标厂商整机硬件能力需达到华为鲲鹏伙伴计划的战略级认证，并提供证书证明，加盖厂商鲜章。</w:t>
            </w:r>
          </w:p>
        </w:tc>
      </w:tr>
      <w:tr>
        <w:tblPrEx>
          <w:tblCellMar>
            <w:top w:w="0" w:type="dxa"/>
            <w:left w:w="108" w:type="dxa"/>
            <w:bottom w:w="0" w:type="dxa"/>
            <w:right w:w="108" w:type="dxa"/>
          </w:tblCellMar>
        </w:tblPrEx>
        <w:trPr>
          <w:trHeight w:val="55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w:t>
            </w: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集成能力要求</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需提供操作系统安装、数据库安装、前置软件安装，相关存储目录规划、网络参数预设等调试工作，同时为前置机和医院电子病历厂商对接提供指导服务。提供</w:t>
            </w:r>
            <w:r>
              <w:rPr>
                <w:rFonts w:hint="eastAsia" w:ascii="宋体" w:hAnsi="宋体"/>
                <w:sz w:val="22"/>
                <w:szCs w:val="22"/>
              </w:rPr>
              <w:t>投标供应商承诺函。</w:t>
            </w:r>
          </w:p>
        </w:tc>
      </w:tr>
      <w:tr>
        <w:tblPrEx>
          <w:tblCellMar>
            <w:top w:w="0" w:type="dxa"/>
            <w:left w:w="108" w:type="dxa"/>
            <w:bottom w:w="0" w:type="dxa"/>
            <w:right w:w="108" w:type="dxa"/>
          </w:tblCellMar>
        </w:tblPrEx>
        <w:trPr>
          <w:trHeight w:val="55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本地服务能力</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为保证服务及时性，投标供应商注册地需为苏州或有本地服务团队，可实现售后1H上门服务能力，提供投标供应商营业执照和承诺函证明。</w:t>
            </w:r>
          </w:p>
        </w:tc>
      </w:tr>
      <w:tr>
        <w:tblPrEx>
          <w:tblCellMar>
            <w:top w:w="0" w:type="dxa"/>
            <w:left w:w="108" w:type="dxa"/>
            <w:bottom w:w="0" w:type="dxa"/>
            <w:right w:w="108" w:type="dxa"/>
          </w:tblCellMar>
        </w:tblPrEx>
        <w:trPr>
          <w:trHeight w:val="55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14</w:t>
            </w:r>
          </w:p>
        </w:tc>
        <w:tc>
          <w:tcPr>
            <w:tcW w:w="7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维保要求</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提供设备三年维保服务</w:t>
            </w:r>
          </w:p>
        </w:tc>
      </w:tr>
    </w:tbl>
    <w:p>
      <w:bookmarkStart w:id="0" w:name="_GoBack"/>
      <w:bookmarkEnd w:id="0"/>
    </w:p>
    <w:p>
      <w:r>
        <w:rPr>
          <w:rFonts w:hint="eastAsia"/>
        </w:rPr>
        <w:t>重要性说明：★代表最关键指标，不满足该指标项将导致投标被拒绝。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NzM0YmRmNzNhZjhkOGUxYTc3MmI5N2RiMmFhY2QifQ=="/>
  </w:docVars>
  <w:rsids>
    <w:rsidRoot w:val="009F1772"/>
    <w:rsid w:val="00070068"/>
    <w:rsid w:val="000B7F34"/>
    <w:rsid w:val="00327725"/>
    <w:rsid w:val="003641AC"/>
    <w:rsid w:val="00433FD6"/>
    <w:rsid w:val="004457A6"/>
    <w:rsid w:val="00493212"/>
    <w:rsid w:val="004E4EBB"/>
    <w:rsid w:val="00526DC8"/>
    <w:rsid w:val="00573D32"/>
    <w:rsid w:val="006002B7"/>
    <w:rsid w:val="00720FA1"/>
    <w:rsid w:val="007245A0"/>
    <w:rsid w:val="00752B60"/>
    <w:rsid w:val="00780E93"/>
    <w:rsid w:val="00844E58"/>
    <w:rsid w:val="00877AAB"/>
    <w:rsid w:val="008A1959"/>
    <w:rsid w:val="009B7001"/>
    <w:rsid w:val="009F1772"/>
    <w:rsid w:val="00A23ADA"/>
    <w:rsid w:val="00A60EC4"/>
    <w:rsid w:val="00B74CFF"/>
    <w:rsid w:val="00C33A00"/>
    <w:rsid w:val="00C4159D"/>
    <w:rsid w:val="00C524A6"/>
    <w:rsid w:val="00C5291C"/>
    <w:rsid w:val="00D1249F"/>
    <w:rsid w:val="00D50047"/>
    <w:rsid w:val="00DC28CC"/>
    <w:rsid w:val="00E4508F"/>
    <w:rsid w:val="00ED0B56"/>
    <w:rsid w:val="00F512F0"/>
    <w:rsid w:val="00F65BA2"/>
    <w:rsid w:val="00F711A9"/>
    <w:rsid w:val="00F7368C"/>
    <w:rsid w:val="00F91E85"/>
    <w:rsid w:val="00F93CFE"/>
    <w:rsid w:val="00FA220A"/>
    <w:rsid w:val="00FE2A5E"/>
    <w:rsid w:val="1A644AB4"/>
    <w:rsid w:val="47FF36A9"/>
    <w:rsid w:val="7E766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uiPriority w:val="99"/>
    <w:rPr>
      <w:sz w:val="18"/>
      <w:szCs w:val="18"/>
    </w:rPr>
  </w:style>
  <w:style w:type="character" w:customStyle="1" w:styleId="11">
    <w:name w:val="页脚 字符"/>
    <w:basedOn w:val="9"/>
    <w:link w:val="4"/>
    <w:uiPriority w:val="99"/>
    <w:rPr>
      <w:sz w:val="18"/>
      <w:szCs w:val="18"/>
    </w:rPr>
  </w:style>
  <w:style w:type="paragraph" w:customStyle="1" w:styleId="12">
    <w:name w:val="标书正文"/>
    <w:basedOn w:val="1"/>
    <w:link w:val="13"/>
    <w:uiPriority w:val="0"/>
    <w:pPr>
      <w:spacing w:line="360" w:lineRule="auto"/>
      <w:ind w:firstLine="200" w:firstLineChars="200"/>
    </w:pPr>
    <w:rPr>
      <w:sz w:val="24"/>
    </w:rPr>
  </w:style>
  <w:style w:type="character" w:customStyle="1" w:styleId="13">
    <w:name w:val="标书正文 Char"/>
    <w:link w:val="12"/>
    <w:uiPriority w:val="0"/>
    <w:rPr>
      <w:rFonts w:ascii="Times New Roman" w:hAnsi="Times New Roman" w:eastAsia="宋体" w:cs="Times New Roman"/>
      <w:sz w:val="24"/>
      <w:szCs w:val="24"/>
    </w:rPr>
  </w:style>
  <w:style w:type="character" w:customStyle="1" w:styleId="14">
    <w:name w:val="标题 1 字符"/>
    <w:basedOn w:val="9"/>
    <w:link w:val="2"/>
    <w:uiPriority w:val="9"/>
    <w:rPr>
      <w:rFonts w:ascii="Times New Roman" w:hAnsi="Times New Roman" w:eastAsia="宋体" w:cs="Times New Roman"/>
      <w:b/>
      <w:bCs/>
      <w:kern w:val="44"/>
      <w:sz w:val="44"/>
      <w:szCs w:val="44"/>
    </w:rPr>
  </w:style>
  <w:style w:type="character" w:customStyle="1" w:styleId="15">
    <w:name w:val="标题 2 字符"/>
    <w:basedOn w:val="9"/>
    <w:link w:val="3"/>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A753-2CF9-4309-B4FC-BFF8B72DBEC4}">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889</Characters>
  <Lines>7</Lines>
  <Paragraphs>2</Paragraphs>
  <TotalTime>56</TotalTime>
  <ScaleCrop>false</ScaleCrop>
  <LinksUpToDate>false</LinksUpToDate>
  <CharactersWithSpaces>1042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2024-04-26T06:50:00Z</dcterms:created>
  <dc:creator>wang xiaoyan</dc:creator>
  <cp:lastModifiedBy>123</cp:lastModifiedBy>
  <dcterms:modified xsi:type="dcterms:W3CDTF">2024-05-08T00:56:56Z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37144A8798604A99B59144EB82CD24B9_12</vt:lpwstr>
  </property>
</Properties>
</file>